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13884">
      <w:pPr>
        <w:pStyle w:val="2"/>
        <w:widowControl/>
        <w:spacing w:after="0" w:line="360" w:lineRule="auto"/>
        <w:jc w:val="center"/>
        <w:rPr>
          <w:rFonts w:ascii="方正小标宋简体" w:hAnsi="黑体" w:eastAsia="方正小标宋简体" w:cs="黑体"/>
          <w:color w:val="000000"/>
          <w:sz w:val="44"/>
          <w:szCs w:val="32"/>
        </w:rPr>
      </w:pPr>
      <w:r>
        <w:rPr>
          <w:rFonts w:ascii="方正小标宋简体" w:hAnsi="黑体" w:eastAsia="方正小标宋简体" w:cs="黑体"/>
          <w:color w:val="000000"/>
          <w:sz w:val="44"/>
          <w:szCs w:val="32"/>
        </w:rPr>
        <w:t>阳泉市行政区域（不含平定、盂县）</w:t>
      </w:r>
    </w:p>
    <w:p w14:paraId="5B4E9E0D">
      <w:pPr>
        <w:pStyle w:val="2"/>
        <w:widowControl/>
        <w:spacing w:after="0" w:line="360" w:lineRule="auto"/>
        <w:jc w:val="center"/>
        <w:rPr>
          <w:rFonts w:ascii="方正小标宋简体" w:hAnsi="黑体" w:eastAsia="方正小标宋简体" w:cs="黑体"/>
          <w:color w:val="000000"/>
          <w:sz w:val="44"/>
          <w:szCs w:val="32"/>
        </w:rPr>
      </w:pPr>
      <w:r>
        <w:rPr>
          <w:rFonts w:ascii="方正小标宋简体" w:hAnsi="黑体" w:eastAsia="方正小标宋简体" w:cs="黑体"/>
          <w:color w:val="000000"/>
          <w:sz w:val="44"/>
          <w:szCs w:val="32"/>
        </w:rPr>
        <w:t>单元格持证户合理容量测算模型</w:t>
      </w:r>
    </w:p>
    <w:p w14:paraId="43DE47B5">
      <w:pPr>
        <w:pStyle w:val="2"/>
        <w:widowControl/>
        <w:spacing w:after="0" w:line="360" w:lineRule="auto"/>
        <w:rPr>
          <w:rFonts w:hint="default" w:ascii="仿宋_GB2312" w:hAnsi="仿宋_GB2312" w:eastAsia="仿宋_GB2312" w:cs="仿宋_GB2312"/>
          <w:color w:val="000000"/>
          <w:sz w:val="32"/>
          <w:szCs w:val="32"/>
        </w:rPr>
      </w:pPr>
    </w:p>
    <w:p w14:paraId="78AF00A9">
      <w:pPr>
        <w:pStyle w:val="2"/>
        <w:widowControl/>
        <w:spacing w:after="0" w:line="360" w:lineRule="auto"/>
        <w:ind w:firstLine="640" w:firstLineChars="200"/>
        <w:rPr>
          <w:rFonts w:hint="default" w:ascii="黑体" w:hAnsi="黑体" w:eastAsia="黑体" w:cs="仿宋_GB2312"/>
          <w:color w:val="000000"/>
          <w:sz w:val="32"/>
          <w:szCs w:val="32"/>
        </w:rPr>
      </w:pPr>
      <w:r>
        <w:rPr>
          <w:rFonts w:ascii="黑体" w:hAnsi="黑体" w:eastAsia="黑体" w:cs="仿宋_GB2312"/>
          <w:color w:val="000000"/>
          <w:sz w:val="32"/>
          <w:szCs w:val="32"/>
        </w:rPr>
        <w:t>一、阳泉市行政区域（简称市辖区）持证户合理容量数学模型</w:t>
      </w:r>
    </w:p>
    <w:p w14:paraId="1652F7F3">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（一）市辖区持证户合理容量数为全市持证户基数与市辖区合理系数之积。</w:t>
      </w:r>
    </w:p>
    <w:p w14:paraId="70B0AD75">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计算公式：市辖区持证户合理容量数=全市持证户基数×市辖区合理系数</w:t>
      </w:r>
    </w:p>
    <w:p w14:paraId="559E1929">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（二）全市持证户基数为近三年各年度全市持证卷烟零售户数之加权平均数。</w:t>
      </w:r>
    </w:p>
    <w:p w14:paraId="28E9AD3E">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（三）市辖区合理系数为</w:t>
      </w:r>
      <w:r>
        <w:rPr>
          <w:rFonts w:hint="eastAsia" w:ascii="仿宋_GB2312" w:hAnsi="仿宋_GB2312" w:eastAsia="仿宋_GB2312" w:cs="仿宋_GB2312"/>
          <w:color w:val="000000"/>
          <w:sz w:val="32"/>
          <w:szCs w:val="32"/>
          <w:lang w:val="en-US" w:eastAsia="zh-CN"/>
        </w:rPr>
        <w:t>全区</w:t>
      </w:r>
      <w:r>
        <w:rPr>
          <w:rFonts w:ascii="仿宋_GB2312" w:hAnsi="仿宋_GB2312" w:eastAsia="仿宋_GB2312" w:cs="仿宋_GB2312"/>
          <w:color w:val="000000"/>
          <w:sz w:val="32"/>
          <w:szCs w:val="32"/>
        </w:rPr>
        <w:t>持证户占比、人口占比、</w:t>
      </w:r>
      <w:r>
        <w:rPr>
          <w:rFonts w:hint="eastAsia" w:ascii="仿宋_GB2312" w:hAnsi="仿宋_GB2312" w:eastAsia="仿宋_GB2312" w:cs="仿宋_GB2312"/>
          <w:color w:val="000000"/>
          <w:sz w:val="32"/>
          <w:szCs w:val="32"/>
          <w:lang w:val="en-US" w:eastAsia="zh-CN"/>
        </w:rPr>
        <w:t>土地</w:t>
      </w:r>
      <w:r>
        <w:rPr>
          <w:rFonts w:ascii="仿宋_GB2312" w:hAnsi="仿宋_GB2312" w:eastAsia="仿宋_GB2312" w:cs="仿宋_GB2312"/>
          <w:color w:val="000000"/>
          <w:sz w:val="32"/>
          <w:szCs w:val="32"/>
        </w:rPr>
        <w:t>面积占比、社会消费品零售总额占比和地区生产总值占比之加权平均数，其中持证户占比权重为35%、人口占比权重为25%、土地面积占比权重为10%、社会消费品零售总额占比权重为15%、地区生产总值占比权重为15%。</w:t>
      </w:r>
    </w:p>
    <w:p w14:paraId="6C4DD594">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（四）市辖区合理系数模型</w:t>
      </w:r>
    </w:p>
    <w:p w14:paraId="364E3546">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1.持证户占比为近三年各年度市辖区持证户与全市持证户比值之加权平均数，其中三年之前持证户占比权重为25%、二年之前持证户占比权重为30%、一年之前持证户占比权重为45%。</w:t>
      </w:r>
    </w:p>
    <w:p w14:paraId="48D2763A">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2.人口占比为近三年各年度市辖区人口与全市人口比值之加权平均数，其中三年之前人口占比权重为25%、二年之前人口占比权重为30%、一年之前人口占比权重为45%。</w:t>
      </w:r>
    </w:p>
    <w:p w14:paraId="57BFA43F">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3.土地面积占比为市辖区土地面积与全市土地面积的比值。</w:t>
      </w:r>
    </w:p>
    <w:p w14:paraId="6BDEE1F0">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市辖区社会消费品零售总额占比为近三年各年度市辖区社会消费品零售总额与全市社会消费品零售总额比值之加权平均数，其中三年之前社会消费品零售总额占比权重为25%、二年之前社会消费品零售总额占比权重为30%、一年之前社会消费品零售总额占比权重为45%。</w:t>
      </w:r>
    </w:p>
    <w:p w14:paraId="25C1985F">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5.地区生产总值占比为近三年各年度市辖区GDP与全市GDP比值之加权平均数，其中三年之前GDP占比权重为25%、二年之前GDP占比权重为30%、一年之前GDP占比权重为45%。</w:t>
      </w:r>
    </w:p>
    <w:p w14:paraId="696D649C">
      <w:pPr>
        <w:pStyle w:val="2"/>
        <w:widowControl/>
        <w:spacing w:after="0" w:line="360" w:lineRule="auto"/>
        <w:ind w:firstLine="640" w:firstLineChars="200"/>
        <w:rPr>
          <w:rFonts w:hint="default" w:ascii="黑体" w:hAnsi="黑体" w:eastAsia="黑体" w:cs="仿宋_GB2312"/>
          <w:color w:val="000000"/>
          <w:sz w:val="32"/>
          <w:szCs w:val="32"/>
        </w:rPr>
      </w:pPr>
      <w:r>
        <w:rPr>
          <w:rFonts w:ascii="黑体" w:hAnsi="黑体" w:eastAsia="黑体" w:cs="仿宋_GB2312"/>
          <w:color w:val="000000"/>
          <w:sz w:val="32"/>
          <w:szCs w:val="32"/>
        </w:rPr>
        <w:t>二、各市场单元网格持证户合理容量测算模型</w:t>
      </w:r>
    </w:p>
    <w:p w14:paraId="71EE1961">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（一）各市场单元网格持证户合理容量数为市辖区持证户合理容量数与市场单元网格合理系数之积。</w:t>
      </w:r>
    </w:p>
    <w:p w14:paraId="68D55DCA">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计算公式：市场单元网格持证户合理容量数=市辖区持证户合理容量数×市场单元网格合理系数</w:t>
      </w:r>
    </w:p>
    <w:p w14:paraId="10CDF5FA">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（二）市场单元网格合理系数为市场单元网格人口占比、前三年平均销量占比和前三年平均持证户占比之加权平均数，其中人口占比权重为30%、前三年平均销量占比权重为30%、前三年平均持证数占比权重为40%。</w:t>
      </w:r>
    </w:p>
    <w:p w14:paraId="0F8090D7">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（三）市场单元网格合理系数模型</w:t>
      </w:r>
    </w:p>
    <w:p w14:paraId="264D2AFD">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1.人口占比为政府官方动态发布的市场单元网格人口数与市辖区官方动态发布的人口总数之比。</w:t>
      </w:r>
    </w:p>
    <w:p w14:paraId="62DCDD86">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2.前三年平均销量占比为前三年</w:t>
      </w:r>
      <w:r>
        <w:rPr>
          <w:rFonts w:hint="eastAsia" w:ascii="仿宋_GB2312" w:hAnsi="仿宋_GB2312" w:eastAsia="仿宋_GB2312" w:cs="仿宋_GB2312"/>
          <w:color w:val="000000"/>
          <w:sz w:val="32"/>
          <w:szCs w:val="32"/>
          <w:lang w:val="en-US" w:eastAsia="zh-CN"/>
        </w:rPr>
        <w:t>市场单元网格</w:t>
      </w:r>
      <w:r>
        <w:rPr>
          <w:rFonts w:ascii="仿宋_GB2312" w:hAnsi="仿宋_GB2312" w:eastAsia="仿宋_GB2312" w:cs="仿宋_GB2312"/>
          <w:color w:val="000000"/>
          <w:sz w:val="32"/>
          <w:szCs w:val="32"/>
        </w:rPr>
        <w:t>销量平均值与市辖区前三年销量平均值之比。</w:t>
      </w:r>
    </w:p>
    <w:p w14:paraId="15458A69">
      <w:pPr>
        <w:pStyle w:val="2"/>
        <w:widowControl/>
        <w:spacing w:after="0" w:line="360" w:lineRule="auto"/>
        <w:ind w:firstLine="640" w:firstLineChars="200"/>
        <w:rPr>
          <w:rFonts w:hint="default"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3.前三年平均持证数占比为前三年市场单元网格持证户数平均值与市辖区前三年持证户数平均值之比。</w:t>
      </w:r>
    </w:p>
    <w:p w14:paraId="75DA159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9FC281-6DF5-42D8-912E-2AA32CF15C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AC0BBD-EEE0-415F-A093-932CB22A4560}"/>
  </w:font>
  <w:font w:name="方正小标宋简体">
    <w:panose1 w:val="02000000000000000000"/>
    <w:charset w:val="86"/>
    <w:family w:val="script"/>
    <w:pitch w:val="default"/>
    <w:sig w:usb0="00000001" w:usb1="08000000" w:usb2="00000000" w:usb3="00000000" w:csb0="00040000" w:csb1="00000000"/>
    <w:embedRegular r:id="rId3" w:fontKey="{E37E0927-CCAB-4C47-9071-45EAF80D243B}"/>
  </w:font>
  <w:font w:name="仿宋_GB2312">
    <w:panose1 w:val="02010609030101010101"/>
    <w:charset w:val="86"/>
    <w:family w:val="modern"/>
    <w:pitch w:val="default"/>
    <w:sig w:usb0="00000001" w:usb1="080E0000" w:usb2="00000000" w:usb3="00000000" w:csb0="00040000" w:csb1="00000000"/>
    <w:embedRegular r:id="rId4" w:fontKey="{BA2F5F77-873A-42EE-9A8E-760B492A129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A0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2025-10-27T03:31:01Z</dcterms:created>
  <dc:creator>18003</dc:creator>
  <cp:lastModifiedBy>乖，不疼</cp:lastModifiedBy>
  <dcterms:modified xsi:type="dcterms:W3CDTF">2025-10-27T03:31:07Z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eyJoZGlkIjoiODc2NzhhMDM4Yzc5YmM1YjgzOTU4ODExOGI1NmFlMjAiLCJ1c2VySWQiOiIzNDAzNTU4NTgifQ==</vt:lpwstr>
  </property>
  <property fmtid="{D5CDD505-2E9C-101B-9397-08002B2CF9AE}" pid="4" name="ICV">
    <vt:lpwstr>E7292EBB8B0C43A79D0E7718A9486935_12</vt:lpwstr>
  </property>
</Properties>
</file>